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E732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1949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C47099">
        <w:rPr>
          <w:rFonts w:ascii="Times New Roman" w:hAnsi="Times New Roman"/>
          <w:b w:val="0"/>
          <w:sz w:val="27"/>
          <w:szCs w:val="27"/>
        </w:rPr>
        <w:t>Толстого, д. 9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502018" w:rsidRPr="00A96094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(ООО УК «НАШ ЖЕЛЕЗНОГОРСКИЙ ДВОР»)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r w:rsidR="00C47099">
        <w:rPr>
          <w:rFonts w:ascii="Times New Roman" w:hAnsi="Times New Roman"/>
          <w:b w:val="0"/>
          <w:sz w:val="27"/>
          <w:szCs w:val="27"/>
        </w:rPr>
        <w:t>Толстого, д. 9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C47099">
        <w:rPr>
          <w:rFonts w:ascii="Times New Roman" w:hAnsi="Times New Roman"/>
          <w:b w:val="0"/>
          <w:sz w:val="27"/>
          <w:szCs w:val="27"/>
        </w:rPr>
        <w:t>Толстого, д. 9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r w:rsidR="00C47099" w:rsidRPr="00C47099">
        <w:rPr>
          <w:rFonts w:ascii="Times New Roman" w:hAnsi="Times New Roman"/>
          <w:sz w:val="27"/>
          <w:szCs w:val="27"/>
        </w:rPr>
        <w:t>Толстого, д. 9</w:t>
      </w:r>
      <w:r w:rsidR="00C47099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lastRenderedPageBreak/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6B7AF0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6B7AF0">
        <w:rPr>
          <w:rFonts w:ascii="Times New Roman" w:hAnsi="Times New Roman"/>
          <w:sz w:val="26"/>
          <w:szCs w:val="26"/>
        </w:rPr>
        <w:t>водоснабжению, водоотведению, электроснабжению, теплоснабжению</w:t>
      </w:r>
      <w:r w:rsidR="006B7AF0" w:rsidRPr="00674103">
        <w:rPr>
          <w:rFonts w:ascii="Times New Roman" w:hAnsi="Times New Roman"/>
          <w:sz w:val="27"/>
          <w:szCs w:val="27"/>
        </w:rPr>
        <w:t xml:space="preserve"> собственникам и пользователям помещений в многоквартирном доме в период управления управляющей организацией </w:t>
      </w:r>
      <w:r w:rsidR="006B7AF0" w:rsidRPr="00A96094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6B7AF0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</w:t>
      </w:r>
      <w:r w:rsidR="006B7AF0">
        <w:rPr>
          <w:rFonts w:ascii="Times New Roman" w:hAnsi="Times New Roman"/>
          <w:sz w:val="27"/>
          <w:szCs w:val="27"/>
        </w:rPr>
        <w:t>ими</w:t>
      </w:r>
      <w:r w:rsidR="006B7AF0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6B7AF0">
        <w:rPr>
          <w:rFonts w:ascii="Times New Roman" w:hAnsi="Times New Roman"/>
          <w:sz w:val="27"/>
          <w:szCs w:val="27"/>
        </w:rPr>
        <w:t>ями, в том числе</w:t>
      </w:r>
      <w:r w:rsidR="006B7AF0" w:rsidRPr="00674103">
        <w:rPr>
          <w:rFonts w:ascii="Times New Roman" w:hAnsi="Times New Roman"/>
          <w:sz w:val="27"/>
          <w:szCs w:val="27"/>
        </w:rPr>
        <w:t xml:space="preserve"> ООО «КРАСЭКО-ЭЛЕКТРО», в соответствии с </w:t>
      </w:r>
      <w:hyperlink r:id="rId9" w:history="1">
        <w:r w:rsidR="006B7AF0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6B7AF0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6B7AF0" w:rsidRPr="00674103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</w:t>
      </w:r>
      <w:r w:rsidR="0019413A" w:rsidRPr="00674103">
        <w:rPr>
          <w:rFonts w:ascii="Times New Roman" w:hAnsi="Times New Roman"/>
          <w:sz w:val="27"/>
          <w:szCs w:val="27"/>
        </w:rPr>
        <w:t>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C47099">
        <w:rPr>
          <w:rFonts w:ascii="Times New Roman" w:hAnsi="Times New Roman"/>
          <w:b w:val="0"/>
          <w:sz w:val="27"/>
          <w:szCs w:val="27"/>
        </w:rPr>
        <w:t>Толстого, д. 9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502018" w:rsidRPr="00A960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872719" w:rsidRPr="00674103" w:rsidRDefault="00502018" w:rsidP="0087271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="00872719"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72719" w:rsidRPr="00674103" w:rsidRDefault="00502018" w:rsidP="0087271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872719"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872719"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72719"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72719" w:rsidRPr="00674103" w:rsidRDefault="00502018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872719"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872719" w:rsidRPr="00674103" w:rsidRDefault="00872719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 w:rsidR="00502018"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7434B8" w:rsidRPr="00674103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67410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674103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 w:rsidR="0009650F"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</w:t>
      </w:r>
      <w:r w:rsidR="00502018">
        <w:rPr>
          <w:rFonts w:ascii="Times New Roman" w:hAnsi="Times New Roman"/>
          <w:sz w:val="27"/>
          <w:szCs w:val="27"/>
        </w:rPr>
        <w:t xml:space="preserve">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 </w:t>
      </w:r>
      <w:r w:rsidRPr="00674103">
        <w:rPr>
          <w:rFonts w:ascii="Times New Roman" w:hAnsi="Times New Roman"/>
          <w:sz w:val="27"/>
          <w:szCs w:val="27"/>
        </w:rPr>
        <w:t xml:space="preserve">             </w:t>
      </w:r>
      <w:r w:rsidR="0009650F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E7325">
        <w:rPr>
          <w:rFonts w:ascii="Times New Roman" w:eastAsia="Times New Roman" w:hAnsi="Times New Roman"/>
          <w:sz w:val="28"/>
          <w:szCs w:val="28"/>
        </w:rPr>
        <w:t>23.09.2022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E7325">
        <w:rPr>
          <w:rFonts w:ascii="Times New Roman" w:eastAsia="Times New Roman" w:hAnsi="Times New Roman"/>
          <w:sz w:val="28"/>
          <w:szCs w:val="28"/>
        </w:rPr>
        <w:t>1949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C47099" w:rsidRPr="00C47099">
        <w:rPr>
          <w:rFonts w:ascii="Times New Roman" w:hAnsi="Times New Roman"/>
          <w:sz w:val="28"/>
          <w:szCs w:val="28"/>
        </w:rPr>
        <w:t>Толстого, д. 9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26" w:type="dxa"/>
        <w:tblInd w:w="93" w:type="dxa"/>
        <w:tblLayout w:type="fixed"/>
        <w:tblLook w:val="04A0"/>
      </w:tblPr>
      <w:tblGrid>
        <w:gridCol w:w="960"/>
        <w:gridCol w:w="2316"/>
        <w:gridCol w:w="2268"/>
        <w:gridCol w:w="1134"/>
        <w:gridCol w:w="931"/>
        <w:gridCol w:w="2117"/>
      </w:tblGrid>
      <w:tr w:rsidR="00C47099" w:rsidRPr="00C47099" w:rsidTr="00C4709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C47099" w:rsidRPr="00C47099" w:rsidTr="00C47099">
        <w:trPr>
          <w:trHeight w:val="5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7099" w:rsidRPr="00C47099" w:rsidTr="001C3195">
        <w:trPr>
          <w:trHeight w:val="75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B6348B">
        <w:trPr>
          <w:trHeight w:val="55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Устранение 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C47099" w:rsidRPr="00C47099" w:rsidTr="00C4709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кучи на расстояние 1 </w:t>
            </w: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254512">
        <w:trPr>
          <w:trHeight w:val="69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2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DA188C">
        <w:trPr>
          <w:trHeight w:val="90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FA53B4">
        <w:trPr>
          <w:trHeight w:val="81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 муфтовой арматуры ГВС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D87342">
        <w:trPr>
          <w:trHeight w:val="82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30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C47099" w:rsidRPr="00C47099" w:rsidTr="00C4709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Опорожнение (заполнение) системы </w:t>
            </w: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47099" w:rsidRPr="00C47099" w:rsidTr="001128E2">
        <w:trPr>
          <w:trHeight w:val="79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C47099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C47099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47099" w:rsidRPr="00C47099" w:rsidTr="00C47099">
        <w:trPr>
          <w:trHeight w:val="5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C47099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C47099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C47099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C47099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C47099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C47099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5D4330">
        <w:trPr>
          <w:trHeight w:val="30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FB5863">
        <w:trPr>
          <w:trHeight w:val="46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C47099" w:rsidRPr="00C47099" w:rsidTr="00C47099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</w:t>
            </w:r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C47099" w:rsidRPr="00C47099" w:rsidTr="00C4709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C47099" w:rsidRPr="00C47099" w:rsidTr="00471537">
        <w:trPr>
          <w:trHeight w:val="76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  <w:proofErr w:type="gramEnd"/>
          </w:p>
        </w:tc>
      </w:tr>
      <w:tr w:rsidR="00C47099" w:rsidRPr="00C47099" w:rsidTr="00C4709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C47099" w:rsidRPr="00C47099" w:rsidTr="00C4709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Уборка территории с асфальтовым покрытием в зимнее время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4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C47099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C47099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C47099" w:rsidRPr="00C47099" w:rsidTr="00C47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47099" w:rsidRPr="00C47099" w:rsidTr="00C47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99" w:rsidRPr="00C47099" w:rsidRDefault="00C47099" w:rsidP="00C4709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47099" w:rsidRPr="00C47099" w:rsidTr="008F35C3">
        <w:trPr>
          <w:trHeight w:val="52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C47099" w:rsidRPr="00C47099" w:rsidTr="00C47099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9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C47099" w:rsidRPr="00C47099" w:rsidTr="00C47099">
        <w:trPr>
          <w:trHeight w:val="855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C47099" w:rsidRPr="00C47099" w:rsidTr="00C47099">
        <w:trPr>
          <w:trHeight w:val="3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C47099" w:rsidRPr="00C47099" w:rsidTr="00C4709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C47099" w:rsidRPr="00C47099" w:rsidTr="00EB1FA2">
        <w:trPr>
          <w:trHeight w:val="30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  <w:r w:rsidRPr="00C4709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47099" w:rsidRPr="00C47099" w:rsidTr="00C4709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</w:t>
            </w:r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47099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C47099" w:rsidRPr="00C47099" w:rsidTr="00C4709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C47099" w:rsidRPr="00C47099" w:rsidTr="00FB7FCD">
        <w:trPr>
          <w:trHeight w:val="30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  <w:r w:rsidRPr="00C470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47099" w:rsidRPr="00C47099" w:rsidTr="00C47099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C47099" w:rsidRPr="00C47099" w:rsidTr="00F00E49">
        <w:trPr>
          <w:trHeight w:val="30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  <w:r w:rsidRPr="00C4709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47099" w:rsidRPr="00C47099" w:rsidTr="00C47099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99" w:rsidRPr="00C47099" w:rsidRDefault="00C47099" w:rsidP="00C470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099">
              <w:rPr>
                <w:rFonts w:ascii="Times New Roman" w:eastAsia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99" w:rsidRPr="00C47099" w:rsidRDefault="00C47099" w:rsidP="00C47099">
            <w:pPr>
              <w:rPr>
                <w:rFonts w:ascii="Times New Roman" w:eastAsia="Times New Roman" w:hAnsi="Times New Roman"/>
                <w:sz w:val="20"/>
              </w:rPr>
            </w:pPr>
            <w:r w:rsidRPr="00C47099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A93B54">
      <w:pgSz w:w="11905" w:h="16838"/>
      <w:pgMar w:top="851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2D" w:rsidRDefault="0041012D">
      <w:r>
        <w:separator/>
      </w:r>
    </w:p>
  </w:endnote>
  <w:endnote w:type="continuationSeparator" w:id="0">
    <w:p w:rsidR="0041012D" w:rsidRDefault="0041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2D" w:rsidRDefault="0041012D">
      <w:r>
        <w:separator/>
      </w:r>
    </w:p>
  </w:footnote>
  <w:footnote w:type="continuationSeparator" w:id="0">
    <w:p w:rsidR="0041012D" w:rsidRDefault="0041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1012D" w:rsidRDefault="00516D69" w:rsidP="00690443">
        <w:pPr>
          <w:pStyle w:val="a7"/>
          <w:jc w:val="center"/>
        </w:pPr>
        <w:fldSimple w:instr=" PAGE   \* MERGEFORMAT ">
          <w:r w:rsidR="003E7325">
            <w:rPr>
              <w:noProof/>
            </w:rPr>
            <w:t>2</w:t>
          </w:r>
        </w:fldSimple>
      </w:p>
    </w:sdtContent>
  </w:sdt>
  <w:p w:rsidR="0041012D" w:rsidRDefault="004101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909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26B8"/>
    <w:rsid w:val="00377129"/>
    <w:rsid w:val="003811B8"/>
    <w:rsid w:val="0038178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325"/>
    <w:rsid w:val="003E7C5A"/>
    <w:rsid w:val="003F2AC3"/>
    <w:rsid w:val="003F5B9E"/>
    <w:rsid w:val="003F5D89"/>
    <w:rsid w:val="00401807"/>
    <w:rsid w:val="00404DA2"/>
    <w:rsid w:val="0041012D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2018"/>
    <w:rsid w:val="0050483E"/>
    <w:rsid w:val="00514ED6"/>
    <w:rsid w:val="00515DD7"/>
    <w:rsid w:val="00516D69"/>
    <w:rsid w:val="00517C00"/>
    <w:rsid w:val="00522BE6"/>
    <w:rsid w:val="005230C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B7AF0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AC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BA6"/>
    <w:rsid w:val="008F0B3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3B54"/>
    <w:rsid w:val="00A94E25"/>
    <w:rsid w:val="00A967EE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EEA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257"/>
    <w:rsid w:val="00C30BE6"/>
    <w:rsid w:val="00C30C6A"/>
    <w:rsid w:val="00C35F99"/>
    <w:rsid w:val="00C42F20"/>
    <w:rsid w:val="00C42F9B"/>
    <w:rsid w:val="00C4332D"/>
    <w:rsid w:val="00C4357C"/>
    <w:rsid w:val="00C4687B"/>
    <w:rsid w:val="00C47099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385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53B7-F295-4FCF-9803-8ADF55D9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2092</Words>
  <Characters>14777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2022-09-21T03:28:00Z</cp:lastPrinted>
  <dcterms:created xsi:type="dcterms:W3CDTF">2019-05-15T05:17:00Z</dcterms:created>
  <dcterms:modified xsi:type="dcterms:W3CDTF">2022-09-26T03:39:00Z</dcterms:modified>
</cp:coreProperties>
</file>