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72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524E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72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085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164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24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46A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 w:rsidR="009308FB">
        <w:rPr>
          <w:sz w:val="28"/>
          <w:szCs w:val="28"/>
        </w:rPr>
        <w:t>13</w:t>
      </w:r>
      <w:r w:rsidRPr="00824DA4">
        <w:rPr>
          <w:sz w:val="28"/>
          <w:szCs w:val="28"/>
        </w:rPr>
        <w:t>.12.201</w:t>
      </w:r>
      <w:r w:rsidR="009308FB"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№ </w:t>
      </w:r>
      <w:r w:rsidR="009308FB">
        <w:rPr>
          <w:sz w:val="28"/>
          <w:szCs w:val="28"/>
        </w:rPr>
        <w:t>40</w:t>
      </w:r>
      <w:r w:rsidRPr="00824DA4">
        <w:rPr>
          <w:sz w:val="28"/>
          <w:szCs w:val="28"/>
        </w:rPr>
        <w:t>-</w:t>
      </w:r>
      <w:r w:rsidR="009308FB">
        <w:rPr>
          <w:sz w:val="28"/>
          <w:szCs w:val="28"/>
        </w:rPr>
        <w:t>206</w:t>
      </w:r>
      <w:r w:rsidRPr="00824DA4">
        <w:rPr>
          <w:sz w:val="28"/>
          <w:szCs w:val="28"/>
        </w:rPr>
        <w:t>Р «О бюджете ЗАТО Железногорск на 201</w:t>
      </w:r>
      <w:r w:rsidR="009308FB"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 и плановый период 20</w:t>
      </w:r>
      <w:r w:rsidR="009308FB">
        <w:rPr>
          <w:sz w:val="28"/>
          <w:szCs w:val="28"/>
        </w:rPr>
        <w:t>20</w:t>
      </w:r>
      <w:r w:rsidRPr="00824DA4">
        <w:rPr>
          <w:sz w:val="28"/>
          <w:szCs w:val="28"/>
        </w:rPr>
        <w:t>-20</w:t>
      </w:r>
      <w:r w:rsidR="009308FB">
        <w:rPr>
          <w:sz w:val="28"/>
          <w:szCs w:val="28"/>
        </w:rPr>
        <w:t>21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 w:rsidR="009308FB"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51" w:rsidRDefault="00415951" w:rsidP="00D33EFD">
      <w:pPr>
        <w:spacing w:after="0" w:line="240" w:lineRule="auto"/>
      </w:pPr>
      <w:r>
        <w:separator/>
      </w:r>
    </w:p>
  </w:endnote>
  <w:endnote w:type="continuationSeparator" w:id="0">
    <w:p w:rsidR="00415951" w:rsidRDefault="00415951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51" w:rsidRDefault="00415951" w:rsidP="00D33EFD">
      <w:pPr>
        <w:spacing w:after="0" w:line="240" w:lineRule="auto"/>
      </w:pPr>
      <w:r>
        <w:separator/>
      </w:r>
    </w:p>
  </w:footnote>
  <w:footnote w:type="continuationSeparator" w:id="0">
    <w:p w:rsidR="00415951" w:rsidRDefault="00415951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EE114C">
        <w:pPr>
          <w:pStyle w:val="af"/>
        </w:pPr>
        <w:fldSimple w:instr=" PAGE   \* MERGEFORMAT ">
          <w:r w:rsidR="009308FB">
            <w:rPr>
              <w:noProof/>
            </w:rPr>
            <w:t>4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59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A08C5-A893-4D11-AE01-DE662B41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10</cp:revision>
  <cp:lastPrinted>2019-11-18T01:41:00Z</cp:lastPrinted>
  <dcterms:created xsi:type="dcterms:W3CDTF">2019-11-12T04:21:00Z</dcterms:created>
  <dcterms:modified xsi:type="dcterms:W3CDTF">2019-11-18T01:41:00Z</dcterms:modified>
</cp:coreProperties>
</file>