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A46D0D">
      <w:pPr>
        <w:tabs>
          <w:tab w:val="left" w:pos="142"/>
        </w:tabs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>от</w:t>
      </w:r>
      <w:r w:rsidR="002738D3">
        <w:rPr>
          <w:rFonts w:ascii="Times New Roman" w:eastAsia="Times New Roman" w:hAnsi="Times New Roman"/>
          <w:sz w:val="28"/>
          <w:szCs w:val="28"/>
        </w:rPr>
        <w:t xml:space="preserve"> </w:t>
      </w:r>
      <w:r w:rsidR="00D472B7">
        <w:rPr>
          <w:rFonts w:ascii="Times New Roman" w:eastAsia="Times New Roman" w:hAnsi="Times New Roman"/>
          <w:sz w:val="28"/>
          <w:szCs w:val="28"/>
        </w:rPr>
        <w:t xml:space="preserve"> 10.07.2020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D472B7">
        <w:rPr>
          <w:rFonts w:ascii="Times New Roman" w:eastAsia="Times New Roman" w:hAnsi="Times New Roman"/>
          <w:sz w:val="28"/>
          <w:szCs w:val="28"/>
        </w:rPr>
        <w:t xml:space="preserve"> 1219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312BF8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 xml:space="preserve">, 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312BF8">
        <w:rPr>
          <w:rFonts w:ascii="Times New Roman" w:hAnsi="Times New Roman"/>
          <w:sz w:val="28"/>
          <w:szCs w:val="28"/>
        </w:rPr>
        <w:t>Таежная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12BF8">
        <w:rPr>
          <w:rFonts w:ascii="Times New Roman" w:hAnsi="Times New Roman"/>
          <w:sz w:val="28"/>
          <w:szCs w:val="28"/>
        </w:rPr>
        <w:t xml:space="preserve"> № 68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435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312BF8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312BF8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312BF8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312BF8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312BF8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12BF8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312BF8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48,33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311,7</w:t>
            </w:r>
            <w:r w:rsidR="00312BF8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12BF8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312BF8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При возникновении скользкости обработка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312BF8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>257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12BF8" w:rsidRPr="00312BF8">
              <w:rPr>
                <w:rFonts w:ascii="Times New Roman" w:eastAsia="Times New Roman" w:hAnsi="Times New Roman"/>
                <w:color w:val="000000"/>
                <w:sz w:val="20"/>
              </w:rPr>
              <w:t>776</w:t>
            </w:r>
            <w:r w:rsid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312BF8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312BF8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312BF8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312BF8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BF8" w:rsidRPr="00F77A11" w:rsidRDefault="00312BF8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E1051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312BF8">
              <w:rPr>
                <w:rFonts w:ascii="Times New Roman" w:eastAsia="Times New Roman" w:hAnsi="Times New Roman"/>
                <w:color w:val="000000"/>
                <w:sz w:val="20"/>
              </w:rPr>
              <w:t xml:space="preserve">585,45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BF8" w:rsidRPr="00F77A11" w:rsidRDefault="00312BF8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A46D0D">
      <w:headerReference w:type="default" r:id="rId8"/>
      <w:headerReference w:type="first" r:id="rId9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B51" w:rsidRDefault="00C45B51">
      <w:r>
        <w:separator/>
      </w:r>
    </w:p>
  </w:endnote>
  <w:endnote w:type="continuationSeparator" w:id="0">
    <w:p w:rsidR="00C45B51" w:rsidRDefault="00C4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B51" w:rsidRDefault="00C45B51">
      <w:r>
        <w:separator/>
      </w:r>
    </w:p>
  </w:footnote>
  <w:footnote w:type="continuationSeparator" w:id="0">
    <w:p w:rsidR="00C45B51" w:rsidRDefault="00C45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073115"/>
      <w:docPartObj>
        <w:docPartGallery w:val="Page Numbers (Top of Page)"/>
        <w:docPartUnique/>
      </w:docPartObj>
    </w:sdtPr>
    <w:sdtContent>
      <w:p w:rsidR="00C6243C" w:rsidRDefault="00984DE7" w:rsidP="00690443">
        <w:pPr>
          <w:pStyle w:val="a7"/>
          <w:jc w:val="center"/>
        </w:pPr>
        <w:fldSimple w:instr=" PAGE   \* MERGEFORMAT ">
          <w:r w:rsidR="00D472B7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073116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984DE7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51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AD1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87A13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642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EEE"/>
    <w:rsid w:val="00266F18"/>
    <w:rsid w:val="00267A2F"/>
    <w:rsid w:val="0027027D"/>
    <w:rsid w:val="002738D3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2BF8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2B57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46FC"/>
    <w:rsid w:val="00984DE7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6D0D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5B51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472B7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BD15B-E83A-4849-A9A3-46C258F3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2020-07-08T07:27:00Z</cp:lastPrinted>
  <dcterms:created xsi:type="dcterms:W3CDTF">2019-05-15T05:27:00Z</dcterms:created>
  <dcterms:modified xsi:type="dcterms:W3CDTF">2020-07-13T07:22:00Z</dcterms:modified>
</cp:coreProperties>
</file>