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общественной безопасности и режима Администрации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453B3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53B34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453B3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 w:rsidR="00563B39">
              <w:rPr>
                <w:rFonts w:eastAsia="Times New Roman"/>
                <w:sz w:val="24"/>
                <w:szCs w:val="24"/>
                <w:lang w:eastAsia="en-US"/>
              </w:rPr>
              <w:t>под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270 000,0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53B34">
              <w:rPr>
                <w:rFonts w:eastAsia="Times New Roman"/>
                <w:sz w:val="24"/>
                <w:szCs w:val="24"/>
                <w:lang w:eastAsia="en-US"/>
              </w:rPr>
              <w:t>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453B3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453B3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2022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Меры, предусматриваемые настоящей подпрограммой,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общеобразовательных учреждениях ЗАТО Железногорск с 2020 по 2022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семинаров практикумов по антитеррористической подготовке в учебных учреждениях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</w:t>
      </w:r>
      <w:r w:rsidR="00453B34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-202</w:t>
      </w:r>
      <w:r w:rsidR="00453B34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 xml:space="preserve">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приведены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Администрация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елезногорск, МКУ «Управление образования»</w:t>
      </w:r>
      <w:r w:rsidR="00563B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 </w:t>
      </w:r>
      <w:r w:rsidR="00563B39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правления </w:t>
      </w:r>
      <w:r w:rsidR="00563B39">
        <w:rPr>
          <w:rFonts w:ascii="Times New Roman" w:eastAsia="Times New Roman" w:hAnsi="Times New Roman" w:cs="Times New Roman"/>
          <w:sz w:val="24"/>
          <w:szCs w:val="24"/>
        </w:rPr>
        <w:t xml:space="preserve">внутреннего контроля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ЗАТО г.</w:t>
      </w:r>
      <w:r w:rsidR="00563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</w:t>
      </w:r>
      <w:r w:rsidR="00563B39">
        <w:rPr>
          <w:rFonts w:ascii="Times New Roman" w:eastAsia="Times New Roman" w:hAnsi="Times New Roman" w:cs="Times New Roman"/>
          <w:sz w:val="24"/>
          <w:szCs w:val="24"/>
        </w:rPr>
        <w:t>ых правоотношений осуществляет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онтрольно-ревизионная служба </w:t>
      </w:r>
      <w:r w:rsidR="00563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ЗАТО 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14454E"/>
    <w:rsid w:val="001C36DD"/>
    <w:rsid w:val="00237144"/>
    <w:rsid w:val="00257CF8"/>
    <w:rsid w:val="002E627B"/>
    <w:rsid w:val="003A328A"/>
    <w:rsid w:val="00453B34"/>
    <w:rsid w:val="00465A67"/>
    <w:rsid w:val="005327DB"/>
    <w:rsid w:val="00563B39"/>
    <w:rsid w:val="006F328D"/>
    <w:rsid w:val="008A2D2F"/>
    <w:rsid w:val="0099395A"/>
    <w:rsid w:val="009B7E11"/>
    <w:rsid w:val="00CD5FF9"/>
    <w:rsid w:val="00D9511B"/>
    <w:rsid w:val="00E2220D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83516-F2DC-4D95-9B92-9FA236BA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1352</Words>
  <Characters>7711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10</cp:revision>
  <dcterms:created xsi:type="dcterms:W3CDTF">2019-11-01T08:10:00Z</dcterms:created>
  <dcterms:modified xsi:type="dcterms:W3CDTF">2020-12-02T08:24:00Z</dcterms:modified>
</cp:coreProperties>
</file>