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</w:t>
      </w:r>
      <w:r w:rsidR="007E7C23">
        <w:rPr>
          <w:rFonts w:ascii="Times New Roman" w:hAnsi="Times New Roman" w:cs="Times New Roman"/>
          <w:sz w:val="28"/>
          <w:szCs w:val="28"/>
        </w:rPr>
        <w:t>2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7E7C23">
        <w:rPr>
          <w:rFonts w:ascii="Times New Roman" w:hAnsi="Times New Roman" w:cs="Times New Roman"/>
          <w:sz w:val="28"/>
          <w:szCs w:val="28"/>
        </w:rPr>
        <w:t>5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E7C23">
        <w:rPr>
          <w:rFonts w:ascii="Times New Roman" w:hAnsi="Times New Roman" w:cs="Times New Roman"/>
          <w:sz w:val="28"/>
          <w:szCs w:val="28"/>
        </w:rPr>
        <w:t>31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7E7C23">
        <w:rPr>
          <w:rFonts w:ascii="Times New Roman" w:hAnsi="Times New Roman" w:cs="Times New Roman"/>
          <w:sz w:val="28"/>
          <w:szCs w:val="28"/>
        </w:rPr>
        <w:t>5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7E7C23">
        <w:rPr>
          <w:rFonts w:ascii="Times New Roman" w:hAnsi="Times New Roman" w:cs="Times New Roman"/>
          <w:sz w:val="28"/>
          <w:szCs w:val="28"/>
        </w:rPr>
        <w:t>02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7E7C23">
        <w:rPr>
          <w:rFonts w:ascii="Times New Roman" w:hAnsi="Times New Roman" w:cs="Times New Roman"/>
          <w:sz w:val="28"/>
          <w:szCs w:val="28"/>
        </w:rPr>
        <w:t>5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7E7C23">
        <w:rPr>
          <w:rFonts w:ascii="Times New Roman" w:hAnsi="Times New Roman" w:cs="Times New Roman"/>
          <w:sz w:val="28"/>
          <w:szCs w:val="28"/>
        </w:rPr>
        <w:t>31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7E7C23">
        <w:rPr>
          <w:rFonts w:ascii="Times New Roman" w:hAnsi="Times New Roman" w:cs="Times New Roman"/>
          <w:sz w:val="28"/>
          <w:szCs w:val="28"/>
        </w:rPr>
        <w:t>5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F507BA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строго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666821" w:rsidRDefault="004F44D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lastRenderedPageBreak/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t xml:space="preserve"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</w:t>
      </w:r>
      <w:r w:rsidRPr="00C53444">
        <w:rPr>
          <w:rFonts w:ascii="Times New Roman" w:hAnsi="Times New Roman"/>
          <w:sz w:val="28"/>
          <w:szCs w:val="28"/>
        </w:rPr>
        <w:lastRenderedPageBreak/>
        <w:t>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Pr="009B6B42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12. </w:t>
      </w:r>
      <w:r w:rsidR="0084544A" w:rsidRPr="008D2C02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8D2C02">
        <w:rPr>
          <w:rFonts w:ascii="Times New Roman" w:hAnsi="Times New Roman"/>
          <w:sz w:val="28"/>
          <w:szCs w:val="28"/>
        </w:rPr>
        <w:t>,</w:t>
      </w:r>
      <w:r w:rsidR="0084544A" w:rsidRPr="008D2C02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8D2C02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8D2C02">
        <w:rPr>
          <w:rFonts w:ascii="Times New Roman" w:hAnsi="Times New Roman"/>
          <w:sz w:val="28"/>
          <w:szCs w:val="28"/>
        </w:rPr>
        <w:t>ой</w:t>
      </w:r>
      <w:r w:rsidR="00023E29" w:rsidRPr="008D2C02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8D2C02">
        <w:rPr>
          <w:rFonts w:ascii="Times New Roman" w:hAnsi="Times New Roman"/>
          <w:sz w:val="28"/>
          <w:szCs w:val="28"/>
        </w:rPr>
        <w:t> </w:t>
      </w:r>
      <w:r w:rsidR="00023E29" w:rsidRPr="008D2C02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8D2C02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8D2C02">
        <w:rPr>
          <w:rFonts w:ascii="Times New Roman" w:hAnsi="Times New Roman"/>
          <w:sz w:val="28"/>
          <w:szCs w:val="28"/>
        </w:rPr>
        <w:t xml:space="preserve">, составляет </w:t>
      </w:r>
      <w:r w:rsidR="00811B6F" w:rsidRPr="008D2C02">
        <w:rPr>
          <w:rFonts w:ascii="Times New Roman" w:hAnsi="Times New Roman"/>
          <w:sz w:val="28"/>
          <w:szCs w:val="28"/>
        </w:rPr>
        <w:t>300</w:t>
      </w:r>
      <w:r w:rsidR="00061957" w:rsidRPr="008D2C02">
        <w:rPr>
          <w:rFonts w:ascii="Times New Roman" w:hAnsi="Times New Roman"/>
          <w:sz w:val="28"/>
          <w:szCs w:val="28"/>
        </w:rPr>
        <w:t> </w:t>
      </w:r>
      <w:r w:rsidR="00811B6F" w:rsidRPr="008D2C02">
        <w:rPr>
          <w:rFonts w:ascii="Times New Roman" w:hAnsi="Times New Roman"/>
          <w:sz w:val="28"/>
          <w:szCs w:val="28"/>
        </w:rPr>
        <w:t>0</w:t>
      </w:r>
      <w:r w:rsidR="00061957" w:rsidRPr="008D2C02">
        <w:rPr>
          <w:rFonts w:ascii="Times New Roman" w:hAnsi="Times New Roman"/>
          <w:sz w:val="28"/>
          <w:szCs w:val="28"/>
        </w:rPr>
        <w:t>00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</w:t>
      </w:r>
      <w:r w:rsidR="005F6588">
        <w:rPr>
          <w:rFonts w:ascii="Times New Roman" w:hAnsi="Times New Roman" w:cs="Times New Roman"/>
          <w:sz w:val="28"/>
          <w:szCs w:val="28"/>
        </w:rPr>
        <w:t>2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5F6588">
        <w:rPr>
          <w:rFonts w:ascii="Times New Roman" w:hAnsi="Times New Roman" w:cs="Times New Roman"/>
          <w:sz w:val="28"/>
          <w:szCs w:val="28"/>
        </w:rPr>
        <w:t>5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6588">
        <w:rPr>
          <w:rFonts w:ascii="Times New Roman" w:hAnsi="Times New Roman" w:cs="Times New Roman"/>
          <w:sz w:val="28"/>
          <w:szCs w:val="28"/>
        </w:rPr>
        <w:t>31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5F6588">
        <w:rPr>
          <w:rFonts w:ascii="Times New Roman" w:hAnsi="Times New Roman" w:cs="Times New Roman"/>
          <w:sz w:val="28"/>
          <w:szCs w:val="28"/>
        </w:rPr>
        <w:t>5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0571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F2367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2044A1">
        <w:rPr>
          <w:rFonts w:ascii="Times New Roman" w:hAnsi="Times New Roman" w:cs="Times New Roman"/>
          <w:sz w:val="28"/>
          <w:szCs w:val="28"/>
        </w:rPr>
        <w:t>09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6C5F9A" w:rsidRPr="00F2367F">
        <w:rPr>
          <w:rFonts w:ascii="Times New Roman" w:hAnsi="Times New Roman" w:cs="Times New Roman"/>
          <w:sz w:val="28"/>
          <w:szCs w:val="28"/>
        </w:rPr>
        <w:t>0</w:t>
      </w:r>
      <w:r w:rsidR="002044A1">
        <w:rPr>
          <w:rFonts w:ascii="Times New Roman" w:hAnsi="Times New Roman" w:cs="Times New Roman"/>
          <w:sz w:val="28"/>
          <w:szCs w:val="28"/>
        </w:rPr>
        <w:t>8</w:t>
      </w:r>
      <w:r w:rsidR="00B61475" w:rsidRPr="00F2367F">
        <w:rPr>
          <w:rFonts w:ascii="Times New Roman" w:hAnsi="Times New Roman" w:cs="Times New Roman"/>
          <w:sz w:val="28"/>
          <w:szCs w:val="28"/>
        </w:rPr>
        <w:t>.</w:t>
      </w:r>
      <w:r w:rsidR="00952ED0" w:rsidRPr="00F2367F">
        <w:rPr>
          <w:rFonts w:ascii="Times New Roman" w:hAnsi="Times New Roman" w:cs="Times New Roman"/>
          <w:sz w:val="28"/>
          <w:szCs w:val="28"/>
        </w:rPr>
        <w:t>202</w:t>
      </w:r>
      <w:r w:rsidR="00D344A9" w:rsidRPr="00F2367F">
        <w:rPr>
          <w:rFonts w:ascii="Times New Roman" w:hAnsi="Times New Roman" w:cs="Times New Roman"/>
          <w:sz w:val="28"/>
          <w:szCs w:val="28"/>
        </w:rPr>
        <w:t>4</w:t>
      </w:r>
      <w:r w:rsidR="00952ED0" w:rsidRPr="00F236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2ED0" w:rsidRPr="00C80571">
        <w:rPr>
          <w:rFonts w:ascii="Times New Roman" w:hAnsi="Times New Roman" w:cs="Times New Roman"/>
          <w:sz w:val="28"/>
          <w:szCs w:val="28"/>
        </w:rPr>
        <w:t>.</w:t>
      </w:r>
    </w:p>
    <w:sectPr w:rsidR="00475428" w:rsidRPr="00C80571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0F64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044A1"/>
    <w:rsid w:val="0021101D"/>
    <w:rsid w:val="002176C6"/>
    <w:rsid w:val="00221488"/>
    <w:rsid w:val="00225DCB"/>
    <w:rsid w:val="0023211C"/>
    <w:rsid w:val="00237322"/>
    <w:rsid w:val="0024549F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1DA9"/>
    <w:rsid w:val="00582DC6"/>
    <w:rsid w:val="0059480E"/>
    <w:rsid w:val="005B1925"/>
    <w:rsid w:val="005B231C"/>
    <w:rsid w:val="005C5C27"/>
    <w:rsid w:val="005C6025"/>
    <w:rsid w:val="005D1132"/>
    <w:rsid w:val="005D6690"/>
    <w:rsid w:val="005D6BC4"/>
    <w:rsid w:val="005E6839"/>
    <w:rsid w:val="005E72A7"/>
    <w:rsid w:val="005F09FE"/>
    <w:rsid w:val="005F1C7D"/>
    <w:rsid w:val="005F325A"/>
    <w:rsid w:val="005F6588"/>
    <w:rsid w:val="005F6D9B"/>
    <w:rsid w:val="00602981"/>
    <w:rsid w:val="00607C52"/>
    <w:rsid w:val="00621893"/>
    <w:rsid w:val="00627AA6"/>
    <w:rsid w:val="00640C20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444D8"/>
    <w:rsid w:val="0074466D"/>
    <w:rsid w:val="00746D73"/>
    <w:rsid w:val="00753D4D"/>
    <w:rsid w:val="0076039E"/>
    <w:rsid w:val="00760D1A"/>
    <w:rsid w:val="0076456F"/>
    <w:rsid w:val="0077156E"/>
    <w:rsid w:val="007744B6"/>
    <w:rsid w:val="00776928"/>
    <w:rsid w:val="007823BF"/>
    <w:rsid w:val="00787522"/>
    <w:rsid w:val="0079574F"/>
    <w:rsid w:val="0079577C"/>
    <w:rsid w:val="007A0BB4"/>
    <w:rsid w:val="007C3B3B"/>
    <w:rsid w:val="007D0C92"/>
    <w:rsid w:val="007E2F8F"/>
    <w:rsid w:val="007E7C23"/>
    <w:rsid w:val="007F41A9"/>
    <w:rsid w:val="0080146A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80F9F"/>
    <w:rsid w:val="009861AA"/>
    <w:rsid w:val="0099078B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971E4"/>
    <w:rsid w:val="00CA346A"/>
    <w:rsid w:val="00CA75FC"/>
    <w:rsid w:val="00CC05FC"/>
    <w:rsid w:val="00CD3A32"/>
    <w:rsid w:val="00CE1496"/>
    <w:rsid w:val="00CE38A9"/>
    <w:rsid w:val="00CE67A9"/>
    <w:rsid w:val="00CF1BC1"/>
    <w:rsid w:val="00D06756"/>
    <w:rsid w:val="00D14B75"/>
    <w:rsid w:val="00D17060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4893"/>
    <w:rsid w:val="00DA57D0"/>
    <w:rsid w:val="00DB3E8C"/>
    <w:rsid w:val="00DC1315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6562"/>
    <w:rsid w:val="00F11FCA"/>
    <w:rsid w:val="00F2236F"/>
    <w:rsid w:val="00F2367F"/>
    <w:rsid w:val="00F26F2C"/>
    <w:rsid w:val="00F32FE9"/>
    <w:rsid w:val="00F34E64"/>
    <w:rsid w:val="00F457A4"/>
    <w:rsid w:val="00F45A45"/>
    <w:rsid w:val="00F507BA"/>
    <w:rsid w:val="00F55B3C"/>
    <w:rsid w:val="00F70036"/>
    <w:rsid w:val="00F7316C"/>
    <w:rsid w:val="00F815C6"/>
    <w:rsid w:val="00F81EAF"/>
    <w:rsid w:val="00F8740B"/>
    <w:rsid w:val="00F913BD"/>
    <w:rsid w:val="00F91D0B"/>
    <w:rsid w:val="00F97E1C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62407-9C83-4FBD-B91A-36FFC5D3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197</cp:revision>
  <cp:lastPrinted>2022-03-29T03:26:00Z</cp:lastPrinted>
  <dcterms:created xsi:type="dcterms:W3CDTF">2022-07-15T00:44:00Z</dcterms:created>
  <dcterms:modified xsi:type="dcterms:W3CDTF">2024-04-27T02:50:00Z</dcterms:modified>
</cp:coreProperties>
</file>