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CE0831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2020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>атели деятельности на 20</w:t>
            </w:r>
            <w:r w:rsidR="00546A6E" w:rsidRPr="0012417F">
              <w:rPr>
                <w:sz w:val="24"/>
                <w:szCs w:val="24"/>
              </w:rPr>
              <w:t>20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</w:t>
            </w:r>
            <w:r w:rsidR="00546A6E" w:rsidRPr="0012417F">
              <w:rPr>
                <w:sz w:val="24"/>
                <w:szCs w:val="24"/>
              </w:rPr>
              <w:t>1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CE0831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2 243</w:t>
            </w:r>
            <w:r w:rsidR="006E52EA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тыс.руб.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CE083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CE0831">
              <w:rPr>
                <w:sz w:val="24"/>
                <w:szCs w:val="24"/>
              </w:rPr>
              <w:t>38,2</w:t>
            </w:r>
            <w:r w:rsidRPr="0012417F">
              <w:rPr>
                <w:sz w:val="24"/>
                <w:szCs w:val="24"/>
              </w:rPr>
              <w:t xml:space="preserve"> тыс. руб.,  местный бюджет- </w:t>
            </w:r>
            <w:r w:rsidR="00CE0831">
              <w:rPr>
                <w:sz w:val="24"/>
                <w:szCs w:val="24"/>
              </w:rPr>
              <w:t>72,8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D20043" w:rsidRPr="0012417F">
              <w:rPr>
                <w:sz w:val="24"/>
                <w:szCs w:val="24"/>
              </w:rPr>
              <w:t>7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5 017,8</w:t>
            </w:r>
            <w:r w:rsidR="00030F27" w:rsidRPr="0012417F">
              <w:rPr>
                <w:sz w:val="24"/>
                <w:szCs w:val="24"/>
              </w:rPr>
              <w:t>тыс.руб.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D20043" w:rsidRPr="0012417F">
              <w:rPr>
                <w:sz w:val="24"/>
                <w:szCs w:val="24"/>
              </w:rPr>
              <w:t>8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6A275A" w:rsidRPr="0012417F">
              <w:rPr>
                <w:sz w:val="24"/>
                <w:szCs w:val="24"/>
              </w:rPr>
              <w:t>7 467,1</w:t>
            </w:r>
            <w:r w:rsidR="00030F27" w:rsidRPr="0012417F">
              <w:rPr>
                <w:sz w:val="24"/>
                <w:szCs w:val="24"/>
              </w:rPr>
              <w:t xml:space="preserve"> тыс.руб.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2019 год – 6 717,0 тыс.руб.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73C" w:rsidRDefault="005C473C">
      <w:r>
        <w:separator/>
      </w:r>
    </w:p>
  </w:endnote>
  <w:endnote w:type="continuationSeparator" w:id="0">
    <w:p w:rsidR="005C473C" w:rsidRDefault="005C4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73C" w:rsidRDefault="005C473C">
      <w:r>
        <w:separator/>
      </w:r>
    </w:p>
  </w:footnote>
  <w:footnote w:type="continuationSeparator" w:id="0">
    <w:p w:rsidR="005C473C" w:rsidRDefault="005C4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331CBA"/>
    <w:rsid w:val="003332A1"/>
    <w:rsid w:val="00346BCD"/>
    <w:rsid w:val="00355D81"/>
    <w:rsid w:val="00384057"/>
    <w:rsid w:val="0038581E"/>
    <w:rsid w:val="003A07E3"/>
    <w:rsid w:val="003A14A8"/>
    <w:rsid w:val="003B2D6B"/>
    <w:rsid w:val="00432597"/>
    <w:rsid w:val="004C6E81"/>
    <w:rsid w:val="004F0A5E"/>
    <w:rsid w:val="00545665"/>
    <w:rsid w:val="00546A6E"/>
    <w:rsid w:val="00576D87"/>
    <w:rsid w:val="005B488E"/>
    <w:rsid w:val="005C473C"/>
    <w:rsid w:val="00622469"/>
    <w:rsid w:val="00693C2D"/>
    <w:rsid w:val="006A275A"/>
    <w:rsid w:val="006E52EA"/>
    <w:rsid w:val="007362B6"/>
    <w:rsid w:val="00805026"/>
    <w:rsid w:val="008A3C5C"/>
    <w:rsid w:val="008C43B3"/>
    <w:rsid w:val="009044B4"/>
    <w:rsid w:val="00940F2A"/>
    <w:rsid w:val="00976CB7"/>
    <w:rsid w:val="00986543"/>
    <w:rsid w:val="00A42F9F"/>
    <w:rsid w:val="00A54D2C"/>
    <w:rsid w:val="00AA4A54"/>
    <w:rsid w:val="00AD1EB3"/>
    <w:rsid w:val="00B715A1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A1381"/>
    <w:rsid w:val="00E20D0B"/>
    <w:rsid w:val="00ED42BF"/>
    <w:rsid w:val="00F267D0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2020-04-28T09:41:00Z</cp:lastPrinted>
  <dcterms:created xsi:type="dcterms:W3CDTF">2020-11-25T06:43:00Z</dcterms:created>
  <dcterms:modified xsi:type="dcterms:W3CDTF">2020-11-25T06:43:00Z</dcterms:modified>
</cp:coreProperties>
</file>